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中建四局第六建设有限公司广州分公司2020春季校园招聘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企业简介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中建四局第六建设有限公司广州分公司1998年入驻广州，现位于广州市番禺区万科世博汇商业中心一期1栋3层，以下简称广州分公司。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广州分公司成立以来，相继承接了珠江新城西塔总承包工程（440.85米）、广州周大福中心（539米）、贵阳花果园双子塔总承包工程（440.85米）、佛山国际家居博览城（68万㎡）、广州太古汇（47万㎡）、福建宁德万达广场（60万㎡）、猎德西区综合发展项目（45万㎡）、海南儋州海花岛项目（91万㎡）、海口互联网金融大厦（13亿元）、南航GAMECO机库横跨度334米、石丰路、萝岗保障房装备式等一系列“高、大、精、尖”工程。这些品牌工程的承建，形成了广州分公司承接超高层项目的核心竞争力，充分展示了广州分公司的施工实力，提升了企业的品牌影响力。现在主要业务分部在广东省。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招聘岗位</w:t>
      </w:r>
    </w:p>
    <w:p>
      <w:pPr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0500" cy="2607310"/>
            <wp:effectExtent l="0" t="0" r="2540" b="13970"/>
            <wp:docPr id="1" name="图片 1" descr="15871903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719036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岗位要求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1.本科及以上学历，2020应届毕业生；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2.身体健康，品行端正；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3.具有较强的工作责任心和学习能力，能吃苦耐劳；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4.具有较强的语言表达能力；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5.具有良好的团队协作精神和个人职业素养；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6.热爱建筑行业，认同企业文化理念。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培养计划</w:t>
      </w:r>
      <w:bookmarkStart w:id="0" w:name="_GoBack"/>
      <w:bookmarkEnd w:id="0"/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（一）领航计划之“2+4+6”培养模式领航计划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项目班组跟班作业（入职前2个月）-轮岗学习（入职3-6个月）-定岗见习（入职7-12个月）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“导师带徒”培养机制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·新员工完成项目管理岗位见习，确定其基本岗位，公司将为每位员工制定一名导师，开展为期一年的专业带培。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·导师将针对每位新员工的具体情况，制定培养计划，指导学员学习基本岗位业务技能、基本规范等。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·注重学员企业价值观和职业道德素养的指导，注重理论与实践相结合。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“青年人才库”培养机制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合理挖掘、培养青年，建设人才梯队和后备干部队伍，公司于2016年12月27日印发《中建四局六公司青年人才库管理办法》，建立青年人才库工作正式启动。青年人才库共分为12个库别，经过推荐选拔、层层审核、公示备案等环节才有可能成为库中一员。目前青年人才库培养、选拔、任用等工作正在持续火热进行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……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五、薪酬福利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（一）薪酬体系包括：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基本工资、季度及年终奖金、专项奖金、住房补贴、交通补贴、年功津贴、执业津贴、项目施工津贴、地区补贴等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福利构成：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五险二金、带薪年假、免费体检、人才落户、管吃管住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六、晋升通道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见习期（入职第1年）-独立工作期（入职2-3年）-阶段提升期（入职3-5年）-高阶跃升期（入职5-7年）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七、招聘流程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网申-线上面试-录用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网申地址：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"https://campus.liepin.com/xycompany/173765/"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</w:rPr>
        <w:t>https://campus.liepin.com/xycompany/173765/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u w:val="none"/>
          <w:lang w:val="en-US" w:eastAsia="zh-CN"/>
        </w:rPr>
      </w:pPr>
    </w:p>
    <w:sectPr>
      <w:pgSz w:w="11906" w:h="16838"/>
      <w:pgMar w:top="115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1006C8"/>
    <w:multiLevelType w:val="singleLevel"/>
    <w:tmpl w:val="CC1006C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BC03673"/>
    <w:multiLevelType w:val="singleLevel"/>
    <w:tmpl w:val="5BC0367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921E9"/>
    <w:rsid w:val="1FBB5CCB"/>
    <w:rsid w:val="29174EF4"/>
    <w:rsid w:val="37111462"/>
    <w:rsid w:val="420B0DEA"/>
    <w:rsid w:val="4800596A"/>
    <w:rsid w:val="4905183C"/>
    <w:rsid w:val="492C51AC"/>
    <w:rsid w:val="4F820602"/>
    <w:rsid w:val="555A2412"/>
    <w:rsid w:val="584026D9"/>
    <w:rsid w:val="5C5C0E92"/>
    <w:rsid w:val="5DE47565"/>
    <w:rsid w:val="60125B6C"/>
    <w:rsid w:val="71503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eastAsia" w:ascii="微软雅黑" w:hAnsi="微软雅黑" w:eastAsia="微软雅黑" w:cs="微软雅黑"/>
      <w:b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869</Words>
  <Characters>943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简生玉</dc:creator>
  <cp:lastModifiedBy>Vivian </cp:lastModifiedBy>
  <dcterms:modified xsi:type="dcterms:W3CDTF">2020-04-18T06:26:18Z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